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2141" w14:textId="29A2456D" w:rsidR="00814BF1" w:rsidRPr="00387423" w:rsidRDefault="00387423" w:rsidP="00387423">
      <w:pPr>
        <w:spacing w:line="360" w:lineRule="auto"/>
        <w:jc w:val="center"/>
        <w:rPr>
          <w:rFonts w:ascii="Times New Roman" w:hAnsi="Times New Roman" w:cs="Times New Roman"/>
          <w:b/>
          <w:bCs/>
          <w:u w:val="single"/>
        </w:rPr>
      </w:pPr>
      <w:r w:rsidRPr="00387423">
        <w:rPr>
          <w:rFonts w:ascii="Times New Roman" w:hAnsi="Times New Roman" w:cs="Times New Roman"/>
          <w:b/>
          <w:bCs/>
          <w:u w:val="single"/>
        </w:rPr>
        <w:t>La protection des gens de mer à l’épreuve de l’activité des agences de fourniture de main-d’œuvre maritime</w:t>
      </w:r>
    </w:p>
    <w:p w14:paraId="37414BB7" w14:textId="3F8F2B4D" w:rsidR="00387423" w:rsidRDefault="00387423" w:rsidP="00387423">
      <w:pPr>
        <w:spacing w:line="360" w:lineRule="auto"/>
        <w:jc w:val="center"/>
        <w:rPr>
          <w:rFonts w:ascii="Times New Roman" w:hAnsi="Times New Roman" w:cs="Times New Roman"/>
        </w:rPr>
      </w:pPr>
      <w:proofErr w:type="spellStart"/>
      <w:r w:rsidRPr="00387423">
        <w:rPr>
          <w:rFonts w:ascii="Times New Roman" w:hAnsi="Times New Roman" w:cs="Times New Roman"/>
        </w:rPr>
        <w:t>Kokougan</w:t>
      </w:r>
      <w:proofErr w:type="spellEnd"/>
      <w:r w:rsidRPr="00387423">
        <w:rPr>
          <w:rFonts w:ascii="Times New Roman" w:hAnsi="Times New Roman" w:cs="Times New Roman"/>
        </w:rPr>
        <w:t xml:space="preserve"> Désiré AGBAVON</w:t>
      </w:r>
    </w:p>
    <w:p w14:paraId="6CACEE88" w14:textId="77777777" w:rsidR="00387423" w:rsidRDefault="00387423" w:rsidP="00387423">
      <w:pPr>
        <w:spacing w:line="360" w:lineRule="auto"/>
        <w:jc w:val="both"/>
        <w:rPr>
          <w:rFonts w:ascii="Times New Roman" w:hAnsi="Times New Roman" w:cs="Times New Roman"/>
        </w:rPr>
      </w:pPr>
    </w:p>
    <w:p w14:paraId="65DB31EC" w14:textId="6F7FAD34" w:rsidR="00387423" w:rsidRDefault="00387423" w:rsidP="00387423">
      <w:pPr>
        <w:spacing w:line="360" w:lineRule="auto"/>
        <w:jc w:val="both"/>
        <w:rPr>
          <w:rFonts w:ascii="Times New Roman" w:hAnsi="Times New Roman" w:cs="Times New Roman"/>
        </w:rPr>
      </w:pPr>
      <w:r>
        <w:rPr>
          <w:rFonts w:ascii="Times New Roman" w:hAnsi="Times New Roman" w:cs="Times New Roman"/>
        </w:rPr>
        <w:t xml:space="preserve">L’industrie maritime a connu de profondes mutations qui ont </w:t>
      </w:r>
      <w:r w:rsidR="00403308">
        <w:rPr>
          <w:rFonts w:ascii="Times New Roman" w:hAnsi="Times New Roman" w:cs="Times New Roman"/>
        </w:rPr>
        <w:t>non seulement influé sur les rapports commerciaux liés au transport</w:t>
      </w:r>
      <w:r w:rsidR="000223ED">
        <w:rPr>
          <w:rFonts w:ascii="Times New Roman" w:hAnsi="Times New Roman" w:cs="Times New Roman"/>
        </w:rPr>
        <w:t xml:space="preserve"> maritime, mais aussi sur les relations de travail qui se créent à l’occasion de l’emploi des gens de mer à bord des navires. Une manifestation concrète de ces mutations a été le recours par les armateurs (exploitants de navires) à des structures spécialisées dans la fourniture d’équipage. Dénommés agences de </w:t>
      </w:r>
      <w:proofErr w:type="spellStart"/>
      <w:r w:rsidR="000223ED">
        <w:rPr>
          <w:rFonts w:ascii="Times New Roman" w:hAnsi="Times New Roman" w:cs="Times New Roman"/>
          <w:i/>
          <w:iCs/>
        </w:rPr>
        <w:t>manning</w:t>
      </w:r>
      <w:proofErr w:type="spellEnd"/>
      <w:r w:rsidR="000223ED">
        <w:rPr>
          <w:rFonts w:ascii="Times New Roman" w:hAnsi="Times New Roman" w:cs="Times New Roman"/>
          <w:i/>
          <w:iCs/>
        </w:rPr>
        <w:t xml:space="preserve"> </w:t>
      </w:r>
      <w:r w:rsidR="000223ED">
        <w:rPr>
          <w:rFonts w:ascii="Times New Roman" w:hAnsi="Times New Roman" w:cs="Times New Roman"/>
        </w:rPr>
        <w:t xml:space="preserve">ou encore fournisseurs de main-d’œuvre maritime, ces structures spécialisées facilitent les procédures de recrutement pour les armateurs et constituent par la même occasion de véritables pourvoyeurs d’emploi </w:t>
      </w:r>
      <w:r w:rsidR="0002409F">
        <w:rPr>
          <w:rFonts w:ascii="Times New Roman" w:hAnsi="Times New Roman" w:cs="Times New Roman"/>
        </w:rPr>
        <w:t xml:space="preserve">pour </w:t>
      </w:r>
      <w:r w:rsidR="000223ED">
        <w:rPr>
          <w:rFonts w:ascii="Times New Roman" w:hAnsi="Times New Roman" w:cs="Times New Roman"/>
        </w:rPr>
        <w:t xml:space="preserve">les gens de mer. Les gens de mer forment une catégorie socio-professionnelle très importante. </w:t>
      </w:r>
      <w:r w:rsidR="007A1170">
        <w:rPr>
          <w:rFonts w:ascii="Times New Roman" w:hAnsi="Times New Roman" w:cs="Times New Roman"/>
        </w:rPr>
        <w:t>En effet, ils</w:t>
      </w:r>
      <w:r w:rsidR="0002409F">
        <w:rPr>
          <w:rFonts w:ascii="Times New Roman" w:hAnsi="Times New Roman" w:cs="Times New Roman"/>
        </w:rPr>
        <w:t xml:space="preserve"> </w:t>
      </w:r>
      <w:r w:rsidR="007A1170">
        <w:rPr>
          <w:rFonts w:ascii="Times New Roman" w:hAnsi="Times New Roman" w:cs="Times New Roman"/>
        </w:rPr>
        <w:t>permettent</w:t>
      </w:r>
      <w:r w:rsidR="0002409F">
        <w:rPr>
          <w:rFonts w:ascii="Times New Roman" w:hAnsi="Times New Roman" w:cs="Times New Roman"/>
        </w:rPr>
        <w:t xml:space="preserve"> de faire transiter par </w:t>
      </w:r>
      <w:r w:rsidR="007A1170">
        <w:rPr>
          <w:rFonts w:ascii="Times New Roman" w:hAnsi="Times New Roman" w:cs="Times New Roman"/>
        </w:rPr>
        <w:t>voie maritime</w:t>
      </w:r>
      <w:r w:rsidR="0002409F">
        <w:rPr>
          <w:rFonts w:ascii="Times New Roman" w:hAnsi="Times New Roman" w:cs="Times New Roman"/>
        </w:rPr>
        <w:t xml:space="preserve"> plus de 90% des produits du commerce international, et ce, malgré les difficultés et risques inhérents au travail à bord d’un navire. Ce sont des travailleurs essentiels. </w:t>
      </w:r>
    </w:p>
    <w:p w14:paraId="290113D7" w14:textId="77777777" w:rsidR="0002409F" w:rsidRDefault="0002409F" w:rsidP="00387423">
      <w:pPr>
        <w:spacing w:line="360" w:lineRule="auto"/>
        <w:jc w:val="both"/>
        <w:rPr>
          <w:rFonts w:ascii="Times New Roman" w:hAnsi="Times New Roman" w:cs="Times New Roman"/>
        </w:rPr>
      </w:pPr>
    </w:p>
    <w:p w14:paraId="553FEA39" w14:textId="1E01EE1B" w:rsidR="0002409F" w:rsidRDefault="007A1170" w:rsidP="00387423">
      <w:pPr>
        <w:spacing w:line="360" w:lineRule="auto"/>
        <w:jc w:val="both"/>
        <w:rPr>
          <w:rFonts w:ascii="Times New Roman" w:hAnsi="Times New Roman" w:cs="Times New Roman"/>
        </w:rPr>
      </w:pPr>
      <w:r>
        <w:rPr>
          <w:rFonts w:ascii="Times New Roman" w:hAnsi="Times New Roman" w:cs="Times New Roman"/>
        </w:rPr>
        <w:t xml:space="preserve">Toutefois, l’intervention des agences de </w:t>
      </w:r>
      <w:proofErr w:type="spellStart"/>
      <w:r>
        <w:rPr>
          <w:rFonts w:ascii="Times New Roman" w:hAnsi="Times New Roman" w:cs="Times New Roman"/>
          <w:i/>
          <w:iCs/>
        </w:rPr>
        <w:t>manning</w:t>
      </w:r>
      <w:proofErr w:type="spellEnd"/>
      <w:r>
        <w:rPr>
          <w:rFonts w:ascii="Times New Roman" w:hAnsi="Times New Roman" w:cs="Times New Roman"/>
        </w:rPr>
        <w:t xml:space="preserve"> dans le cadre de l’emploi des gens de mer à bord des navires </w:t>
      </w:r>
      <w:r w:rsidR="00CB6D4D">
        <w:rPr>
          <w:rFonts w:ascii="Times New Roman" w:hAnsi="Times New Roman" w:cs="Times New Roman"/>
        </w:rPr>
        <w:t>peut</w:t>
      </w:r>
      <w:r>
        <w:rPr>
          <w:rFonts w:ascii="Times New Roman" w:hAnsi="Times New Roman" w:cs="Times New Roman"/>
        </w:rPr>
        <w:t xml:space="preserve"> </w:t>
      </w:r>
      <w:r w:rsidR="002126C4">
        <w:rPr>
          <w:rFonts w:ascii="Times New Roman" w:hAnsi="Times New Roman" w:cs="Times New Roman"/>
        </w:rPr>
        <w:t xml:space="preserve">être </w:t>
      </w:r>
      <w:r>
        <w:rPr>
          <w:rFonts w:ascii="Times New Roman" w:hAnsi="Times New Roman" w:cs="Times New Roman"/>
        </w:rPr>
        <w:t xml:space="preserve">révélatrice d’agissements </w:t>
      </w:r>
      <w:r w:rsidR="00CB6D4D">
        <w:rPr>
          <w:rFonts w:ascii="Times New Roman" w:hAnsi="Times New Roman" w:cs="Times New Roman"/>
        </w:rPr>
        <w:t>malveillants. Ces agissements consiste</w:t>
      </w:r>
      <w:r w:rsidR="002769B9">
        <w:rPr>
          <w:rFonts w:ascii="Times New Roman" w:hAnsi="Times New Roman" w:cs="Times New Roman"/>
        </w:rPr>
        <w:t>nt</w:t>
      </w:r>
      <w:r w:rsidR="00CB6D4D">
        <w:rPr>
          <w:rFonts w:ascii="Times New Roman" w:hAnsi="Times New Roman" w:cs="Times New Roman"/>
        </w:rPr>
        <w:t xml:space="preserve">, entre autres, en l’imputation de frais aux gens de mer pour un emploi trouvé, en l’application d’un salaire et d’une protection sociale qui ne correspondent pas aux exigences minimales en vigueur, ou </w:t>
      </w:r>
      <w:r w:rsidR="00F3317B">
        <w:rPr>
          <w:rFonts w:ascii="Times New Roman" w:hAnsi="Times New Roman" w:cs="Times New Roman"/>
        </w:rPr>
        <w:t xml:space="preserve">encore </w:t>
      </w:r>
      <w:r w:rsidR="00CB6D4D">
        <w:rPr>
          <w:rFonts w:ascii="Times New Roman" w:hAnsi="Times New Roman" w:cs="Times New Roman"/>
        </w:rPr>
        <w:t xml:space="preserve">au non-respect des exigences en matière d’alternance entre les périodes en mer et le repos des gens de mer. De tels agissements </w:t>
      </w:r>
      <w:r w:rsidR="00CB6D4D" w:rsidRPr="00CB6D4D">
        <w:rPr>
          <w:rFonts w:ascii="Times New Roman" w:hAnsi="Times New Roman" w:cs="Times New Roman"/>
        </w:rPr>
        <w:t>mettent en péril la protection de ces travailleurs ainsi que la garantie de leurs droits.</w:t>
      </w:r>
      <w:r w:rsidR="00CB6D4D">
        <w:rPr>
          <w:rFonts w:ascii="Times New Roman" w:hAnsi="Times New Roman" w:cs="Times New Roman"/>
        </w:rPr>
        <w:t xml:space="preserve"> </w:t>
      </w:r>
      <w:r w:rsidR="00263DD2">
        <w:rPr>
          <w:rFonts w:ascii="Times New Roman" w:hAnsi="Times New Roman" w:cs="Times New Roman"/>
        </w:rPr>
        <w:t xml:space="preserve">De ce fait, l’activité des agences de fourniture de main-d’œuvre maritime a nécessité un encadrement. </w:t>
      </w:r>
    </w:p>
    <w:p w14:paraId="4475B2E1" w14:textId="77777777" w:rsidR="00263DD2" w:rsidRDefault="00263DD2" w:rsidP="00387423">
      <w:pPr>
        <w:spacing w:line="360" w:lineRule="auto"/>
        <w:jc w:val="both"/>
        <w:rPr>
          <w:rFonts w:ascii="Times New Roman" w:hAnsi="Times New Roman" w:cs="Times New Roman"/>
        </w:rPr>
      </w:pPr>
    </w:p>
    <w:p w14:paraId="57DC4922" w14:textId="7A84A558" w:rsidR="00263DD2" w:rsidRDefault="002126C4" w:rsidP="00387423">
      <w:pPr>
        <w:spacing w:line="360" w:lineRule="auto"/>
        <w:jc w:val="both"/>
        <w:rPr>
          <w:rFonts w:ascii="Times New Roman" w:hAnsi="Times New Roman" w:cs="Times New Roman"/>
        </w:rPr>
      </w:pPr>
      <w:r>
        <w:rPr>
          <w:rFonts w:ascii="Times New Roman" w:hAnsi="Times New Roman" w:cs="Times New Roman"/>
        </w:rPr>
        <w:t>Un ensemble de règles internationales et nationales participe à l’encadrement de l’activité</w:t>
      </w:r>
      <w:r w:rsidR="00FA71D7">
        <w:rPr>
          <w:rFonts w:ascii="Times New Roman" w:hAnsi="Times New Roman" w:cs="Times New Roman"/>
        </w:rPr>
        <w:t xml:space="preserve"> </w:t>
      </w:r>
      <w:r>
        <w:rPr>
          <w:rFonts w:ascii="Times New Roman" w:hAnsi="Times New Roman" w:cs="Times New Roman"/>
        </w:rPr>
        <w:t xml:space="preserve">de fourniture de main-d’œuvre maritime. Au rang </w:t>
      </w:r>
      <w:r w:rsidR="008A088E">
        <w:rPr>
          <w:rFonts w:ascii="Times New Roman" w:hAnsi="Times New Roman" w:cs="Times New Roman"/>
        </w:rPr>
        <w:t xml:space="preserve">de </w:t>
      </w:r>
      <w:r>
        <w:rPr>
          <w:rFonts w:ascii="Times New Roman" w:hAnsi="Times New Roman" w:cs="Times New Roman"/>
        </w:rPr>
        <w:t xml:space="preserve">ces règles retrouve-t-on une importante convention adoptée par l’Organisation internationale du Travail (OIT) le </w:t>
      </w:r>
      <w:r w:rsidR="008A088E">
        <w:rPr>
          <w:rFonts w:ascii="Times New Roman" w:hAnsi="Times New Roman" w:cs="Times New Roman"/>
        </w:rPr>
        <w:t xml:space="preserve">23 février 2006 ; la Convention du travail maritime encore dénommée MLC. </w:t>
      </w:r>
      <w:r w:rsidR="00F3317B">
        <w:rPr>
          <w:rFonts w:ascii="Times New Roman" w:hAnsi="Times New Roman" w:cs="Times New Roman"/>
        </w:rPr>
        <w:t xml:space="preserve">En vigueur </w:t>
      </w:r>
      <w:r w:rsidR="00F3317B">
        <w:rPr>
          <w:rFonts w:ascii="Times New Roman" w:hAnsi="Times New Roman" w:cs="Times New Roman"/>
        </w:rPr>
        <w:lastRenderedPageBreak/>
        <w:t>depuis le 20 août 2013</w:t>
      </w:r>
      <w:r w:rsidR="0063238C">
        <w:rPr>
          <w:rFonts w:ascii="Times New Roman" w:hAnsi="Times New Roman" w:cs="Times New Roman"/>
        </w:rPr>
        <w:t>,</w:t>
      </w:r>
      <w:r w:rsidR="00F3317B">
        <w:rPr>
          <w:rFonts w:ascii="Times New Roman" w:hAnsi="Times New Roman" w:cs="Times New Roman"/>
        </w:rPr>
        <w:t xml:space="preserve"> la MLC</w:t>
      </w:r>
      <w:r w:rsidR="00657882">
        <w:rPr>
          <w:rFonts w:ascii="Times New Roman" w:hAnsi="Times New Roman" w:cs="Times New Roman"/>
        </w:rPr>
        <w:t xml:space="preserve"> apporte, à sa règle 1.4, un encadrement spécifique à l’activité de fourniture de main-d’œuvre maritime. Cette règle prévoit </w:t>
      </w:r>
      <w:r w:rsidR="00C63B08">
        <w:rPr>
          <w:rFonts w:ascii="Times New Roman" w:hAnsi="Times New Roman" w:cs="Times New Roman"/>
        </w:rPr>
        <w:t xml:space="preserve">que les agences de </w:t>
      </w:r>
      <w:proofErr w:type="spellStart"/>
      <w:r w:rsidR="00C63B08">
        <w:rPr>
          <w:rFonts w:ascii="Times New Roman" w:hAnsi="Times New Roman" w:cs="Times New Roman"/>
          <w:i/>
          <w:iCs/>
        </w:rPr>
        <w:t>manning</w:t>
      </w:r>
      <w:proofErr w:type="spellEnd"/>
      <w:r w:rsidR="00C63B08">
        <w:rPr>
          <w:rFonts w:ascii="Times New Roman" w:hAnsi="Times New Roman" w:cs="Times New Roman"/>
          <w:i/>
          <w:iCs/>
        </w:rPr>
        <w:t xml:space="preserve"> </w:t>
      </w:r>
      <w:r w:rsidR="00C63B08">
        <w:rPr>
          <w:rFonts w:ascii="Times New Roman" w:hAnsi="Times New Roman" w:cs="Times New Roman"/>
        </w:rPr>
        <w:t xml:space="preserve">et les armateurs </w:t>
      </w:r>
      <w:r w:rsidR="00FA71D7">
        <w:rPr>
          <w:rFonts w:ascii="Times New Roman" w:hAnsi="Times New Roman" w:cs="Times New Roman"/>
        </w:rPr>
        <w:t xml:space="preserve">doivent </w:t>
      </w:r>
      <w:r w:rsidR="00C63B08">
        <w:rPr>
          <w:rFonts w:ascii="Times New Roman" w:hAnsi="Times New Roman" w:cs="Times New Roman"/>
        </w:rPr>
        <w:t>respecte</w:t>
      </w:r>
      <w:r w:rsidR="00FA71D7">
        <w:rPr>
          <w:rFonts w:ascii="Times New Roman" w:hAnsi="Times New Roman" w:cs="Times New Roman"/>
        </w:rPr>
        <w:t>r</w:t>
      </w:r>
      <w:r w:rsidR="00C63B08">
        <w:rPr>
          <w:rFonts w:ascii="Times New Roman" w:hAnsi="Times New Roman" w:cs="Times New Roman"/>
        </w:rPr>
        <w:t xml:space="preserve"> </w:t>
      </w:r>
      <w:r w:rsidR="00657882">
        <w:rPr>
          <w:rFonts w:ascii="Times New Roman" w:hAnsi="Times New Roman" w:cs="Times New Roman"/>
        </w:rPr>
        <w:t xml:space="preserve">un ensemble de dispositions </w:t>
      </w:r>
      <w:r w:rsidR="00FA71D7">
        <w:rPr>
          <w:rFonts w:ascii="Times New Roman" w:hAnsi="Times New Roman" w:cs="Times New Roman"/>
        </w:rPr>
        <w:t>permettant</w:t>
      </w:r>
      <w:r w:rsidR="00657882">
        <w:rPr>
          <w:rFonts w:ascii="Times New Roman" w:hAnsi="Times New Roman" w:cs="Times New Roman"/>
        </w:rPr>
        <w:t xml:space="preserve"> d’assurer que les gens de mer </w:t>
      </w:r>
      <w:r w:rsidR="007D5114">
        <w:rPr>
          <w:rFonts w:ascii="Times New Roman" w:hAnsi="Times New Roman" w:cs="Times New Roman"/>
        </w:rPr>
        <w:t>aient</w:t>
      </w:r>
      <w:r w:rsidR="00657882">
        <w:rPr>
          <w:rFonts w:ascii="Times New Roman" w:hAnsi="Times New Roman" w:cs="Times New Roman"/>
        </w:rPr>
        <w:t xml:space="preserve"> accès à un </w:t>
      </w:r>
      <w:r w:rsidR="007D5114">
        <w:rPr>
          <w:rFonts w:ascii="Times New Roman" w:hAnsi="Times New Roman" w:cs="Times New Roman"/>
        </w:rPr>
        <w:t xml:space="preserve">système efficient et bien réglementé de fourniture de main-d’œuvre à bord des navires. </w:t>
      </w:r>
      <w:r w:rsidR="00C63B08">
        <w:rPr>
          <w:rFonts w:ascii="Times New Roman" w:hAnsi="Times New Roman" w:cs="Times New Roman"/>
        </w:rPr>
        <w:t xml:space="preserve">Par ailleurs, la MLC fait reposer sa mise en œuvre sur les États à qui différentes obligations incombent </w:t>
      </w:r>
      <w:r w:rsidR="00245384">
        <w:rPr>
          <w:rFonts w:ascii="Times New Roman" w:hAnsi="Times New Roman" w:cs="Times New Roman"/>
        </w:rPr>
        <w:t xml:space="preserve">en qualité d’État du pavillon, d’État fournisseur de main-d’œuvre et d’État du port. </w:t>
      </w:r>
    </w:p>
    <w:p w14:paraId="1F950359" w14:textId="77777777" w:rsidR="00245384" w:rsidRDefault="00245384" w:rsidP="00387423">
      <w:pPr>
        <w:spacing w:line="360" w:lineRule="auto"/>
        <w:jc w:val="both"/>
        <w:rPr>
          <w:rFonts w:ascii="Times New Roman" w:hAnsi="Times New Roman" w:cs="Times New Roman"/>
        </w:rPr>
      </w:pPr>
    </w:p>
    <w:p w14:paraId="6229BD73" w14:textId="7AE02B4A" w:rsidR="00245384" w:rsidRDefault="00245384" w:rsidP="00387423">
      <w:pPr>
        <w:spacing w:line="360" w:lineRule="auto"/>
        <w:jc w:val="both"/>
        <w:rPr>
          <w:rFonts w:ascii="Times New Roman" w:hAnsi="Times New Roman" w:cs="Times New Roman"/>
        </w:rPr>
      </w:pPr>
      <w:r>
        <w:rPr>
          <w:rFonts w:ascii="Times New Roman" w:hAnsi="Times New Roman" w:cs="Times New Roman"/>
        </w:rPr>
        <w:t xml:space="preserve">Aux termes de la règle 5.1 de la MLC, il appartient à chaque État du pavillon de veiller à ce que </w:t>
      </w:r>
      <w:r w:rsidR="00520BDF">
        <w:rPr>
          <w:rFonts w:ascii="Times New Roman" w:hAnsi="Times New Roman" w:cs="Times New Roman"/>
        </w:rPr>
        <w:t xml:space="preserve">les dispositions de la convention soient respectées à bord de ses navires, et ce, à travers la mise en place d’un système d’inspection et de certification des conditions de travail des gens de mer à bord des navires. En outre, il incombe aux États sur les territoires desquels sont implantées des agences de fourniture de main-d’œuvre et dont sont ressortissants les travailleurs de réglementer de manière efficace l’activité desdites agences afin d’assurer la protection de ces travailleurs. Par ailleurs, les États du port ont la compétence de procéder à un contrôle des conditions </w:t>
      </w:r>
      <w:r w:rsidR="00D55106">
        <w:rPr>
          <w:rFonts w:ascii="Times New Roman" w:hAnsi="Times New Roman" w:cs="Times New Roman"/>
        </w:rPr>
        <w:t>de vie et de travail</w:t>
      </w:r>
      <w:r w:rsidR="00520BDF">
        <w:rPr>
          <w:rFonts w:ascii="Times New Roman" w:hAnsi="Times New Roman" w:cs="Times New Roman"/>
        </w:rPr>
        <w:t xml:space="preserve"> à bord des navires en escale dans leurs ports afin d’apprécier le respect des dispositions de la MLC. </w:t>
      </w:r>
    </w:p>
    <w:p w14:paraId="1DE3DE80" w14:textId="77777777" w:rsidR="007D5114" w:rsidRDefault="007D5114" w:rsidP="00387423">
      <w:pPr>
        <w:spacing w:line="360" w:lineRule="auto"/>
        <w:jc w:val="both"/>
        <w:rPr>
          <w:rFonts w:ascii="Times New Roman" w:hAnsi="Times New Roman" w:cs="Times New Roman"/>
        </w:rPr>
      </w:pPr>
    </w:p>
    <w:p w14:paraId="3AC1A985" w14:textId="1E7E2E7F" w:rsidR="00F855D8" w:rsidRDefault="007D5114" w:rsidP="00387423">
      <w:pPr>
        <w:spacing w:line="360" w:lineRule="auto"/>
        <w:jc w:val="both"/>
        <w:rPr>
          <w:rFonts w:ascii="Times New Roman" w:hAnsi="Times New Roman" w:cs="Times New Roman"/>
        </w:rPr>
      </w:pPr>
      <w:r>
        <w:rPr>
          <w:rFonts w:ascii="Times New Roman" w:hAnsi="Times New Roman" w:cs="Times New Roman"/>
        </w:rPr>
        <w:t xml:space="preserve">Malgré le cadre juridique existant, </w:t>
      </w:r>
      <w:r w:rsidR="000404BC">
        <w:rPr>
          <w:rFonts w:ascii="Times New Roman" w:hAnsi="Times New Roman" w:cs="Times New Roman"/>
        </w:rPr>
        <w:t xml:space="preserve">l’activité de fourniture de main-d’œuvre maritime soulève des questionnements importants en matière de protection des travailleurs concernés. En effet, cette activité crée une forte internationalisation du travail maritime, génératrice de conflits de lois et de juridictions. La MLC n’apporte pas de solution à ces différentes situations conflictuelles. Celles-ci relèvent plutôt de l’ordre juridique interne de chaque État et des mécanismes de coordination de l’Union européenne en ce qui concerne ses États membres. Or, la souplesse qui caractérise certains ordres juridiques qualifiés de complaisants et </w:t>
      </w:r>
      <w:r w:rsidR="00F855D8">
        <w:rPr>
          <w:rFonts w:ascii="Times New Roman" w:hAnsi="Times New Roman" w:cs="Times New Roman"/>
        </w:rPr>
        <w:t xml:space="preserve">la complexité des critères de rattachement peuvent conduire de manière fréquente à des contrats sans juge. Aussi, la qualité de partie faible que revêt le marin dans le cadre de son contrat d’engagement ne lui permet pas de négocier à armes égales avec l’armateur ou l’agence de fourniture de main-d’œuvre. </w:t>
      </w:r>
    </w:p>
    <w:p w14:paraId="0305F12B" w14:textId="77777777" w:rsidR="00F855D8" w:rsidRDefault="00F855D8" w:rsidP="00387423">
      <w:pPr>
        <w:spacing w:line="360" w:lineRule="auto"/>
        <w:jc w:val="both"/>
        <w:rPr>
          <w:rFonts w:ascii="Times New Roman" w:hAnsi="Times New Roman" w:cs="Times New Roman"/>
        </w:rPr>
      </w:pPr>
    </w:p>
    <w:p w14:paraId="05C5B5F4" w14:textId="46C845CF" w:rsidR="007D5114" w:rsidRDefault="00F855D8" w:rsidP="00387423">
      <w:pPr>
        <w:spacing w:line="360" w:lineRule="auto"/>
        <w:jc w:val="both"/>
        <w:rPr>
          <w:rFonts w:ascii="Times New Roman" w:hAnsi="Times New Roman" w:cs="Times New Roman"/>
        </w:rPr>
      </w:pPr>
      <w:r>
        <w:rPr>
          <w:rFonts w:ascii="Times New Roman" w:hAnsi="Times New Roman" w:cs="Times New Roman"/>
        </w:rPr>
        <w:lastRenderedPageBreak/>
        <w:t xml:space="preserve">En outre, l’activité de fourniture de main-d’œuvre maritime pose des difficultés relatives à la détermination de l’employeur du travailleur dans le cadre de la relation tripartite de travail qu’elle engendre. </w:t>
      </w:r>
    </w:p>
    <w:p w14:paraId="25639E24" w14:textId="77777777" w:rsidR="00004818" w:rsidRDefault="00004818" w:rsidP="00387423">
      <w:pPr>
        <w:spacing w:line="360" w:lineRule="auto"/>
        <w:jc w:val="both"/>
        <w:rPr>
          <w:rFonts w:ascii="Times New Roman" w:hAnsi="Times New Roman" w:cs="Times New Roman"/>
        </w:rPr>
      </w:pPr>
    </w:p>
    <w:p w14:paraId="6E6042DC" w14:textId="5D429D1D" w:rsidR="00004818" w:rsidRDefault="00004818" w:rsidP="00387423">
      <w:pPr>
        <w:spacing w:line="360" w:lineRule="auto"/>
        <w:jc w:val="both"/>
        <w:rPr>
          <w:rFonts w:ascii="Times New Roman" w:hAnsi="Times New Roman" w:cs="Times New Roman"/>
        </w:rPr>
      </w:pPr>
      <w:r>
        <w:rPr>
          <w:rFonts w:ascii="Times New Roman" w:hAnsi="Times New Roman" w:cs="Times New Roman"/>
        </w:rPr>
        <w:t xml:space="preserve">La libre immatriculation des navires et le phénomène des pavillons de complaisance qui en est la résultante </w:t>
      </w:r>
      <w:r w:rsidR="00BA054C">
        <w:rPr>
          <w:rFonts w:ascii="Times New Roman" w:hAnsi="Times New Roman" w:cs="Times New Roman"/>
        </w:rPr>
        <w:t xml:space="preserve">ont conduit à une remise en cause du rôle premier que devraient jouer les États du pavillon dans la protection des gens de mer qui travaillent à bord des navires qu’ils immatriculent. Les États fournisseurs de main-d’œuvre, eux, semblent rechigner à l’idée de la mise </w:t>
      </w:r>
      <w:r w:rsidR="003E5300">
        <w:rPr>
          <w:rFonts w:ascii="Times New Roman" w:hAnsi="Times New Roman" w:cs="Times New Roman"/>
        </w:rPr>
        <w:t xml:space="preserve">en </w:t>
      </w:r>
      <w:r w:rsidR="00BA054C">
        <w:rPr>
          <w:rFonts w:ascii="Times New Roman" w:hAnsi="Times New Roman" w:cs="Times New Roman"/>
        </w:rPr>
        <w:t xml:space="preserve">place d’une </w:t>
      </w:r>
      <w:r w:rsidR="00222F04">
        <w:rPr>
          <w:rFonts w:ascii="Times New Roman" w:hAnsi="Times New Roman" w:cs="Times New Roman"/>
        </w:rPr>
        <w:t xml:space="preserve">réglementation rigoureuse et strictement appliquée à l’égard des agences qu’ils accueillent, en raison des considérations économiques qui semblent prévaloir. Dans de telles circonstances, les États du port sont devenus de véritables remparts en matière de protection des gens de mer. </w:t>
      </w:r>
    </w:p>
    <w:p w14:paraId="5D874254" w14:textId="77777777" w:rsidR="00F3317B" w:rsidRDefault="00F3317B" w:rsidP="00387423">
      <w:pPr>
        <w:spacing w:line="360" w:lineRule="auto"/>
        <w:jc w:val="both"/>
        <w:rPr>
          <w:rFonts w:ascii="Times New Roman" w:hAnsi="Times New Roman" w:cs="Times New Roman"/>
        </w:rPr>
      </w:pPr>
    </w:p>
    <w:p w14:paraId="42833B21" w14:textId="53A2A397" w:rsidR="00F3317B" w:rsidRDefault="00F3317B" w:rsidP="00387423">
      <w:pPr>
        <w:spacing w:line="360" w:lineRule="auto"/>
        <w:jc w:val="both"/>
        <w:rPr>
          <w:rFonts w:ascii="Times New Roman" w:hAnsi="Times New Roman" w:cs="Times New Roman"/>
        </w:rPr>
      </w:pPr>
      <w:r>
        <w:rPr>
          <w:rFonts w:ascii="Times New Roman" w:hAnsi="Times New Roman" w:cs="Times New Roman"/>
        </w:rPr>
        <w:t>Au regard de ces différent</w:t>
      </w:r>
      <w:r>
        <w:rPr>
          <w:rFonts w:ascii="Times New Roman" w:hAnsi="Times New Roman" w:cs="Times New Roman"/>
        </w:rPr>
        <w:t>e</w:t>
      </w:r>
      <w:r>
        <w:rPr>
          <w:rFonts w:ascii="Times New Roman" w:hAnsi="Times New Roman" w:cs="Times New Roman"/>
        </w:rPr>
        <w:t>s consta</w:t>
      </w:r>
      <w:r w:rsidR="00100A18">
        <w:rPr>
          <w:rFonts w:ascii="Times New Roman" w:hAnsi="Times New Roman" w:cs="Times New Roman"/>
        </w:rPr>
        <w:t>ta</w:t>
      </w:r>
      <w:r>
        <w:rPr>
          <w:rFonts w:ascii="Times New Roman" w:hAnsi="Times New Roman" w:cs="Times New Roman"/>
        </w:rPr>
        <w:t>t</w:t>
      </w:r>
      <w:r>
        <w:rPr>
          <w:rFonts w:ascii="Times New Roman" w:hAnsi="Times New Roman" w:cs="Times New Roman"/>
        </w:rPr>
        <w:t>ion</w:t>
      </w:r>
      <w:r>
        <w:rPr>
          <w:rFonts w:ascii="Times New Roman" w:hAnsi="Times New Roman" w:cs="Times New Roman"/>
        </w:rPr>
        <w:t xml:space="preserve">s, la question principale qui </w:t>
      </w:r>
      <w:r w:rsidR="008432FF">
        <w:rPr>
          <w:rFonts w:ascii="Times New Roman" w:hAnsi="Times New Roman" w:cs="Times New Roman"/>
        </w:rPr>
        <w:t>se pose est de savoir</w:t>
      </w:r>
      <w:r>
        <w:rPr>
          <w:rFonts w:ascii="Times New Roman" w:hAnsi="Times New Roman" w:cs="Times New Roman"/>
        </w:rPr>
        <w:t xml:space="preserve"> comment assurer une protection garantissant un travail décent aux gens de mer recrutés par l’intermédiaire des agences de fourniture de main-d’œuvre maritime. </w:t>
      </w:r>
    </w:p>
    <w:p w14:paraId="2466787A" w14:textId="77777777" w:rsidR="00222F04" w:rsidRDefault="00222F04" w:rsidP="00387423">
      <w:pPr>
        <w:spacing w:line="360" w:lineRule="auto"/>
        <w:jc w:val="both"/>
        <w:rPr>
          <w:rFonts w:ascii="Times New Roman" w:hAnsi="Times New Roman" w:cs="Times New Roman"/>
        </w:rPr>
      </w:pPr>
    </w:p>
    <w:p w14:paraId="57410B27" w14:textId="05095F6A" w:rsidR="00222F04" w:rsidRDefault="00100A18" w:rsidP="00387423">
      <w:pPr>
        <w:spacing w:line="360" w:lineRule="auto"/>
        <w:jc w:val="both"/>
        <w:rPr>
          <w:rFonts w:ascii="Times New Roman" w:hAnsi="Times New Roman" w:cs="Times New Roman"/>
        </w:rPr>
      </w:pPr>
      <w:r>
        <w:rPr>
          <w:rFonts w:ascii="Times New Roman" w:hAnsi="Times New Roman" w:cs="Times New Roman"/>
        </w:rPr>
        <w:t>Pour répondre à cette question, la</w:t>
      </w:r>
      <w:r w:rsidR="00222F04">
        <w:rPr>
          <w:rFonts w:ascii="Times New Roman" w:hAnsi="Times New Roman" w:cs="Times New Roman"/>
        </w:rPr>
        <w:t xml:space="preserve"> thèse</w:t>
      </w:r>
      <w:r w:rsidR="00F3317B">
        <w:rPr>
          <w:rFonts w:ascii="Times New Roman" w:hAnsi="Times New Roman" w:cs="Times New Roman"/>
        </w:rPr>
        <w:t xml:space="preserve"> soutenue</w:t>
      </w:r>
      <w:r w:rsidR="00222F04">
        <w:rPr>
          <w:rFonts w:ascii="Times New Roman" w:hAnsi="Times New Roman" w:cs="Times New Roman"/>
        </w:rPr>
        <w:t xml:space="preserve"> propose </w:t>
      </w:r>
      <w:r w:rsidR="00E70DCA">
        <w:rPr>
          <w:rFonts w:ascii="Times New Roman" w:hAnsi="Times New Roman" w:cs="Times New Roman"/>
        </w:rPr>
        <w:t xml:space="preserve">une analyse systématique de mécanismes divers, y compris de responsabilisation, afin de faire émerger un faisceau de moyens qui, ensemble, permettront de garantir un travail décent des gens de mer recrutés par l’intermédiaire des agences de fourniture de main-d’œuvre maritime. Ces moyens reposent tant sur les acteurs étatiques que sur les acteurs privés. </w:t>
      </w:r>
      <w:r w:rsidR="00F3317B">
        <w:rPr>
          <w:rFonts w:ascii="Times New Roman" w:hAnsi="Times New Roman" w:cs="Times New Roman"/>
        </w:rPr>
        <w:t>S’agissant des acteurs étatiques, la</w:t>
      </w:r>
      <w:r w:rsidR="00E70DCA">
        <w:rPr>
          <w:rFonts w:ascii="Times New Roman" w:hAnsi="Times New Roman" w:cs="Times New Roman"/>
        </w:rPr>
        <w:t xml:space="preserve"> mise en place d’une coopération effective entre État du pavillon, État fournisseur de main-d’œuvre et État du port devrait renforcer le cadre juridique de la fourniture de main-d’œuvre maritime. Pour leur part, les acteurs privés</w:t>
      </w:r>
      <w:r w:rsidR="00DB125C">
        <w:rPr>
          <w:rFonts w:ascii="Times New Roman" w:hAnsi="Times New Roman" w:cs="Times New Roman"/>
        </w:rPr>
        <w:t xml:space="preserve"> (agences de fourniture de main-d’œuvre et</w:t>
      </w:r>
      <w:r w:rsidR="00C51BE6">
        <w:rPr>
          <w:rFonts w:ascii="Times New Roman" w:hAnsi="Times New Roman" w:cs="Times New Roman"/>
        </w:rPr>
        <w:t xml:space="preserve"> </w:t>
      </w:r>
      <w:r w:rsidR="00DB125C">
        <w:rPr>
          <w:rFonts w:ascii="Times New Roman" w:hAnsi="Times New Roman" w:cs="Times New Roman"/>
        </w:rPr>
        <w:t>armateurs) devraient être tenus responsables ou coresponsables des agissements entraînant la violation des droits des gens de mer. Les mécanismes de responsabilité de ces acteurs privés existent. Toutefois, il faudrait les renforcer</w:t>
      </w:r>
      <w:r w:rsidR="0073058E">
        <w:rPr>
          <w:rFonts w:ascii="Times New Roman" w:hAnsi="Times New Roman" w:cs="Times New Roman"/>
        </w:rPr>
        <w:t xml:space="preserve"> ; le</w:t>
      </w:r>
      <w:r w:rsidR="0073058E">
        <w:rPr>
          <w:rFonts w:ascii="Times New Roman" w:hAnsi="Times New Roman" w:cs="Times New Roman"/>
        </w:rPr>
        <w:t xml:space="preserve"> but </w:t>
      </w:r>
      <w:r w:rsidR="0073058E">
        <w:rPr>
          <w:rFonts w:ascii="Times New Roman" w:hAnsi="Times New Roman" w:cs="Times New Roman"/>
        </w:rPr>
        <w:t>étant</w:t>
      </w:r>
      <w:r w:rsidR="0073058E" w:rsidRPr="00F61206">
        <w:rPr>
          <w:rFonts w:ascii="Times New Roman" w:hAnsi="Times New Roman" w:cs="Times New Roman"/>
        </w:rPr>
        <w:t xml:space="preserve"> d’offrir au marin une pluralité de débiteurs des obligations d’employeur à son égard.</w:t>
      </w:r>
      <w:r w:rsidR="00DB125C">
        <w:rPr>
          <w:rFonts w:ascii="Times New Roman" w:hAnsi="Times New Roman" w:cs="Times New Roman"/>
        </w:rPr>
        <w:t xml:space="preserve"> Aussi conviendrait-il de dépasser le cadre de la responsabilité pour aboutir à une responsabilisation de</w:t>
      </w:r>
      <w:r w:rsidR="00AF1544">
        <w:rPr>
          <w:rFonts w:ascii="Times New Roman" w:hAnsi="Times New Roman" w:cs="Times New Roman"/>
        </w:rPr>
        <w:t xml:space="preserve"> ces</w:t>
      </w:r>
      <w:r w:rsidR="00DB125C">
        <w:rPr>
          <w:rFonts w:ascii="Times New Roman" w:hAnsi="Times New Roman" w:cs="Times New Roman"/>
        </w:rPr>
        <w:t xml:space="preserve"> acteurs. </w:t>
      </w:r>
    </w:p>
    <w:p w14:paraId="009DE2E0" w14:textId="77777777" w:rsidR="00DB125C" w:rsidRDefault="00DB125C" w:rsidP="00387423">
      <w:pPr>
        <w:spacing w:line="360" w:lineRule="auto"/>
        <w:jc w:val="both"/>
        <w:rPr>
          <w:rFonts w:ascii="Times New Roman" w:hAnsi="Times New Roman" w:cs="Times New Roman"/>
        </w:rPr>
      </w:pPr>
    </w:p>
    <w:p w14:paraId="0001E41C" w14:textId="201329B7" w:rsidR="00DB125C" w:rsidRPr="00DB125C" w:rsidRDefault="00DB125C" w:rsidP="00387423">
      <w:pPr>
        <w:spacing w:line="360" w:lineRule="auto"/>
        <w:jc w:val="both"/>
        <w:rPr>
          <w:rFonts w:ascii="Times New Roman" w:hAnsi="Times New Roman" w:cs="Times New Roman"/>
        </w:rPr>
      </w:pPr>
      <w:r>
        <w:rPr>
          <w:rFonts w:ascii="Times New Roman" w:hAnsi="Times New Roman" w:cs="Times New Roman"/>
        </w:rPr>
        <w:t>La responsabilisation renvoie à une logique d’autoréglementation du marché du travail maritime. Elle postule une réglementation de ce marché par les acteurs privés concernés eux-mêmes. La responsabilisation des fournisseurs de main-d’œuvre maritime proposée dans la thèse prend</w:t>
      </w:r>
      <w:r w:rsidR="00501D92">
        <w:rPr>
          <w:rFonts w:ascii="Times New Roman" w:hAnsi="Times New Roman" w:cs="Times New Roman"/>
        </w:rPr>
        <w:t>rait</w:t>
      </w:r>
      <w:r>
        <w:rPr>
          <w:rFonts w:ascii="Times New Roman" w:hAnsi="Times New Roman" w:cs="Times New Roman"/>
        </w:rPr>
        <w:t xml:space="preserve"> forme à travers un regroupement de ces derniers au sein d’une même association qui imposerait à ses membres un code de bonne conduite et un ensemble de pratiques saines communes</w:t>
      </w:r>
      <w:r w:rsidR="00501D92">
        <w:rPr>
          <w:rFonts w:ascii="Times New Roman" w:hAnsi="Times New Roman" w:cs="Times New Roman"/>
        </w:rPr>
        <w:t xml:space="preserve">. Un tel procédé permettrait d’aboutir à un système où chaque membre serait le garde-fou de l’autre, et où pour être crédibles, les armateurs ne devront contracter qu’avec les bons élèves, c’est-à-dire les fournisseurs de main-d’œuvre qui respectent les règles mises en place. </w:t>
      </w:r>
      <w:r w:rsidR="00F3317B">
        <w:rPr>
          <w:rFonts w:ascii="Times New Roman" w:hAnsi="Times New Roman" w:cs="Times New Roman"/>
        </w:rPr>
        <w:t>Ce système</w:t>
      </w:r>
      <w:r w:rsidR="00B06B9B">
        <w:rPr>
          <w:rFonts w:ascii="Times New Roman" w:hAnsi="Times New Roman" w:cs="Times New Roman"/>
        </w:rPr>
        <w:t xml:space="preserve"> aura pour corollaire une exclusion du marché des mauvais élèves, soit les fournisseurs de main-d’œuvre ne respectant pas la réglementation</w:t>
      </w:r>
      <w:r w:rsidR="0005265D">
        <w:rPr>
          <w:rFonts w:ascii="Times New Roman" w:hAnsi="Times New Roman" w:cs="Times New Roman"/>
        </w:rPr>
        <w:t xml:space="preserve"> existante</w:t>
      </w:r>
      <w:r w:rsidR="00B06B9B">
        <w:rPr>
          <w:rFonts w:ascii="Times New Roman" w:hAnsi="Times New Roman" w:cs="Times New Roman"/>
        </w:rPr>
        <w:t xml:space="preserve">. </w:t>
      </w:r>
    </w:p>
    <w:sectPr w:rsidR="00DB125C" w:rsidRPr="00DB125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23"/>
    <w:rsid w:val="00004818"/>
    <w:rsid w:val="000223ED"/>
    <w:rsid w:val="0002409F"/>
    <w:rsid w:val="000404BC"/>
    <w:rsid w:val="0005265D"/>
    <w:rsid w:val="00100A18"/>
    <w:rsid w:val="0013019A"/>
    <w:rsid w:val="00147BCD"/>
    <w:rsid w:val="00177374"/>
    <w:rsid w:val="001925C3"/>
    <w:rsid w:val="002126C4"/>
    <w:rsid w:val="00222F04"/>
    <w:rsid w:val="00245384"/>
    <w:rsid w:val="00263DD2"/>
    <w:rsid w:val="002769B9"/>
    <w:rsid w:val="00387423"/>
    <w:rsid w:val="003E5300"/>
    <w:rsid w:val="003E6B5F"/>
    <w:rsid w:val="00403308"/>
    <w:rsid w:val="00501D92"/>
    <w:rsid w:val="00520BDF"/>
    <w:rsid w:val="0063238C"/>
    <w:rsid w:val="00642EFE"/>
    <w:rsid w:val="00657882"/>
    <w:rsid w:val="0073058E"/>
    <w:rsid w:val="007A1170"/>
    <w:rsid w:val="007C1927"/>
    <w:rsid w:val="007D5114"/>
    <w:rsid w:val="00814BF1"/>
    <w:rsid w:val="00826BD2"/>
    <w:rsid w:val="008432FF"/>
    <w:rsid w:val="008A088E"/>
    <w:rsid w:val="008B7FF1"/>
    <w:rsid w:val="008F1514"/>
    <w:rsid w:val="00A7698F"/>
    <w:rsid w:val="00AD14E0"/>
    <w:rsid w:val="00AF1544"/>
    <w:rsid w:val="00B06B9B"/>
    <w:rsid w:val="00B12BCE"/>
    <w:rsid w:val="00BA054C"/>
    <w:rsid w:val="00C51BE6"/>
    <w:rsid w:val="00C63B08"/>
    <w:rsid w:val="00CB6D4D"/>
    <w:rsid w:val="00D55106"/>
    <w:rsid w:val="00DB125C"/>
    <w:rsid w:val="00E70DCA"/>
    <w:rsid w:val="00F3317B"/>
    <w:rsid w:val="00F54A0D"/>
    <w:rsid w:val="00F77F70"/>
    <w:rsid w:val="00F855D8"/>
    <w:rsid w:val="00FA71D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EE5EA40"/>
  <w15:chartTrackingRefBased/>
  <w15:docId w15:val="{23F34FA5-25F3-0343-A1FB-22C316A7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1190</Words>
  <Characters>6546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 AGBAVON</dc:creator>
  <cp:keywords/>
  <dc:description/>
  <cp:lastModifiedBy>Désiré AGBAVON</cp:lastModifiedBy>
  <cp:revision>32</cp:revision>
  <dcterms:created xsi:type="dcterms:W3CDTF">2024-05-13T09:35:00Z</dcterms:created>
  <dcterms:modified xsi:type="dcterms:W3CDTF">2024-05-17T09:39:00Z</dcterms:modified>
</cp:coreProperties>
</file>